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4FEA" w14:textId="77777777" w:rsidR="0014128F" w:rsidRPr="004429CF" w:rsidRDefault="0014128F" w:rsidP="0014128F">
      <w:pPr>
        <w:widowControl w:val="0"/>
        <w:autoSpaceDE w:val="0"/>
        <w:autoSpaceDN w:val="0"/>
        <w:adjustRightInd w:val="0"/>
        <w:rPr>
          <w:rFonts w:ascii="Myriad Pro" w:hAnsi="Myriad Pro" w:cs="FrutigerLT-Bold"/>
          <w:bCs/>
          <w:sz w:val="32"/>
          <w:szCs w:val="32"/>
          <w:lang w:val="en-GB" w:bidi="en-US"/>
        </w:rPr>
      </w:pPr>
      <w:r>
        <w:rPr>
          <w:rFonts w:ascii="Myriad Pro" w:hAnsi="Myriad Pro" w:cs="FrutigerLT-Bold"/>
          <w:bCs/>
          <w:sz w:val="32"/>
          <w:szCs w:val="32"/>
          <w:lang w:val="en-GB" w:bidi="en-US"/>
        </w:rPr>
        <w:t>Course Title</w:t>
      </w:r>
    </w:p>
    <w:p w14:paraId="02598666" w14:textId="77777777" w:rsidR="0014128F" w:rsidRDefault="0014128F" w:rsidP="0014128F">
      <w:pPr>
        <w:contextualSpacing/>
        <w:outlineLvl w:val="0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Governance and Institutional Development</w:t>
      </w:r>
    </w:p>
    <w:p w14:paraId="3F85A7FC" w14:textId="618CB606" w:rsidR="0014128F" w:rsidRPr="00722EB5" w:rsidRDefault="0014128F" w:rsidP="0014128F">
      <w:pPr>
        <w:contextualSpacing/>
        <w:outlineLvl w:val="0"/>
        <w:rPr>
          <w:bCs/>
          <w:sz w:val="22"/>
          <w:szCs w:val="20"/>
        </w:rPr>
      </w:pPr>
      <w:r w:rsidRPr="00722EB5">
        <w:rPr>
          <w:rFonts w:ascii="Myriad Pro" w:hAnsi="Myriad Pro"/>
          <w:bCs/>
          <w:sz w:val="28"/>
          <w:szCs w:val="20"/>
        </w:rPr>
        <w:t>Rome 202</w:t>
      </w:r>
      <w:r w:rsidR="001904F1">
        <w:rPr>
          <w:rFonts w:ascii="Myriad Pro" w:hAnsi="Myriad Pro"/>
          <w:bCs/>
          <w:sz w:val="28"/>
          <w:szCs w:val="20"/>
        </w:rPr>
        <w:t>4</w:t>
      </w:r>
    </w:p>
    <w:p w14:paraId="058A397B" w14:textId="77777777" w:rsidR="0014128F" w:rsidRPr="00391751" w:rsidRDefault="0014128F" w:rsidP="0014128F">
      <w:pPr>
        <w:widowControl w:val="0"/>
        <w:autoSpaceDE w:val="0"/>
        <w:autoSpaceDN w:val="0"/>
        <w:adjustRightInd w:val="0"/>
        <w:rPr>
          <w:rFonts w:ascii="Myriad Pro" w:hAnsi="Myriad Pro" w:cs="FrutigerLT-Bold"/>
          <w:color w:val="002396"/>
          <w:lang w:val="en-GB" w:bidi="en-US"/>
        </w:rPr>
      </w:pPr>
    </w:p>
    <w:p w14:paraId="22CBE061" w14:textId="77777777" w:rsidR="0014128F" w:rsidRDefault="0014128F" w:rsidP="0014128F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32"/>
          <w:lang w:val="en-GB" w:bidi="en-US"/>
        </w:rPr>
      </w:pPr>
    </w:p>
    <w:p w14:paraId="026BA1AA" w14:textId="77777777" w:rsidR="0014128F" w:rsidRPr="00046EF6" w:rsidRDefault="0014128F" w:rsidP="0014128F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32"/>
          <w:lang w:val="en-GB" w:bidi="en-US"/>
        </w:rPr>
      </w:pPr>
      <w:r w:rsidRPr="00046EF6">
        <w:rPr>
          <w:rFonts w:ascii="Myriad Pro" w:hAnsi="Myriad Pro" w:cs="FrutigerLT-Bold"/>
          <w:sz w:val="32"/>
          <w:lang w:val="en-GB" w:bidi="en-US"/>
        </w:rPr>
        <w:t>Course Overview</w:t>
      </w:r>
    </w:p>
    <w:p w14:paraId="30548ABE" w14:textId="2579B51D" w:rsidR="00B67C87" w:rsidRDefault="00233A39" w:rsidP="00233A39">
      <w:pPr>
        <w:jc w:val="both"/>
      </w:pP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>The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 xml:space="preserve"> course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 xml:space="preserve"> (21 hours) will focus on the 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>impact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 xml:space="preserve"> of governance and institution building 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 xml:space="preserve">on 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>development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 xml:space="preserve">, in a perspective </w:t>
      </w:r>
      <w:r w:rsidR="00E74F86">
        <w:rPr>
          <w:rFonts w:ascii="Myriad Pro" w:hAnsi="Myriad Pro" w:cs="FrutigerLT-Bold"/>
          <w:color w:val="000000"/>
          <w:szCs w:val="18"/>
          <w:lang w:val="en-GB" w:bidi="en-US"/>
        </w:rPr>
        <w:t>incorporating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 xml:space="preserve"> public planning theory</w:t>
      </w:r>
      <w:r w:rsidR="00E74F86">
        <w:rPr>
          <w:rFonts w:ascii="Myriad Pro" w:hAnsi="Myriad Pro" w:cs="FrutigerLT-Bold"/>
          <w:color w:val="000000"/>
          <w:szCs w:val="18"/>
          <w:lang w:val="en-GB" w:bidi="en-US"/>
        </w:rPr>
        <w:t xml:space="preserve"> and concepts such as informal institutions and sustainability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>. It will provide an overview about the conceptual underpinnings for governance an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 xml:space="preserve">d 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>institutional development policies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 xml:space="preserve"> and planning practice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>. Using case studies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>,</w:t>
      </w:r>
      <w:r w:rsidRPr="00722EB5">
        <w:rPr>
          <w:rFonts w:ascii="Myriad Pro" w:hAnsi="Myriad Pro" w:cs="FrutigerLT-Bold"/>
          <w:color w:val="000000"/>
          <w:szCs w:val="18"/>
          <w:lang w:val="en-GB" w:bidi="en-US"/>
        </w:rPr>
        <w:t xml:space="preserve"> participants will discuss </w:t>
      </w:r>
      <w:r>
        <w:rPr>
          <w:rFonts w:ascii="Myriad Pro" w:hAnsi="Myriad Pro" w:cs="FrutigerLT-Bold"/>
          <w:color w:val="000000"/>
          <w:szCs w:val="18"/>
          <w:lang w:val="en-GB" w:bidi="en-US"/>
        </w:rPr>
        <w:t>the practical implications of theoretical debates.</w:t>
      </w:r>
    </w:p>
    <w:p w14:paraId="0642AAAF" w14:textId="77777777" w:rsidR="0014128F" w:rsidRDefault="0014128F"/>
    <w:p w14:paraId="7D3998C4" w14:textId="77777777" w:rsidR="0014128F" w:rsidRPr="00223AB7" w:rsidRDefault="0014128F" w:rsidP="0014128F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32"/>
          <w:lang w:val="en-GB" w:bidi="en-US"/>
        </w:rPr>
      </w:pPr>
      <w:r w:rsidRPr="00223AB7">
        <w:rPr>
          <w:rFonts w:ascii="Myriad Pro" w:hAnsi="Myriad Pro" w:cs="FrutigerLT-Bold"/>
          <w:sz w:val="32"/>
          <w:lang w:val="en-GB" w:bidi="en-US"/>
        </w:rPr>
        <w:t>Prerequisite(s)</w:t>
      </w:r>
    </w:p>
    <w:p w14:paraId="25A6898C" w14:textId="77777777" w:rsidR="0014128F" w:rsidRPr="00391751" w:rsidRDefault="0014128F" w:rsidP="0014128F">
      <w:pPr>
        <w:widowControl w:val="0"/>
        <w:autoSpaceDE w:val="0"/>
        <w:autoSpaceDN w:val="0"/>
        <w:adjustRightInd w:val="0"/>
        <w:jc w:val="both"/>
        <w:rPr>
          <w:rFonts w:ascii="Myriad Pro" w:hAnsi="Myriad Pro" w:cs="FrutigerLT-Bold"/>
          <w:color w:val="000000"/>
          <w:szCs w:val="18"/>
          <w:lang w:val="en-GB" w:bidi="en-US"/>
        </w:rPr>
      </w:pPr>
      <w:r>
        <w:rPr>
          <w:rFonts w:ascii="Myriad Pro" w:hAnsi="Myriad Pro" w:cs="FrutigerLT-Bold"/>
          <w:color w:val="000000"/>
          <w:szCs w:val="18"/>
          <w:lang w:val="en-GB" w:bidi="en-US"/>
        </w:rPr>
        <w:t>There are no pre-requisites for this course.</w:t>
      </w:r>
    </w:p>
    <w:p w14:paraId="398D5CA0" w14:textId="77777777" w:rsidR="0014128F" w:rsidRDefault="0014128F">
      <w:pPr>
        <w:rPr>
          <w:lang w:val="en-GB"/>
        </w:rPr>
      </w:pPr>
    </w:p>
    <w:p w14:paraId="31246F80" w14:textId="77777777" w:rsidR="0014128F" w:rsidRDefault="0014128F">
      <w:pPr>
        <w:rPr>
          <w:lang w:val="en-GB"/>
        </w:rPr>
      </w:pPr>
    </w:p>
    <w:p w14:paraId="7B2908EB" w14:textId="77777777" w:rsidR="0014128F" w:rsidRDefault="0014128F" w:rsidP="0014128F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32"/>
          <w:lang w:val="en-GB" w:bidi="en-US"/>
        </w:rPr>
      </w:pPr>
      <w:r w:rsidRPr="00223AB7">
        <w:rPr>
          <w:rFonts w:ascii="Myriad Pro" w:hAnsi="Myriad Pro" w:cs="FrutigerLT-Bold"/>
          <w:sz w:val="32"/>
          <w:lang w:val="en-GB" w:bidi="en-US"/>
        </w:rPr>
        <w:t>Course Aim</w:t>
      </w:r>
    </w:p>
    <w:p w14:paraId="789996A3" w14:textId="43AD9A13" w:rsidR="00E14C5A" w:rsidRPr="00E14C5A" w:rsidRDefault="00E14C5A" w:rsidP="00E14C5A">
      <w:pPr>
        <w:widowControl w:val="0"/>
        <w:autoSpaceDE w:val="0"/>
        <w:autoSpaceDN w:val="0"/>
        <w:adjustRightInd w:val="0"/>
        <w:jc w:val="both"/>
        <w:outlineLvl w:val="0"/>
        <w:rPr>
          <w:rFonts w:ascii="Myriad Pro" w:hAnsi="Myriad Pro" w:cs="FrutigerLT-Bold"/>
          <w:lang w:val="en-GB" w:bidi="en-US"/>
        </w:rPr>
      </w:pPr>
      <w:r w:rsidRPr="00E14C5A">
        <w:rPr>
          <w:rFonts w:ascii="Myriad Pro" w:hAnsi="Myriad Pro" w:cs="FrutigerLT-Bold"/>
          <w:lang w:val="en-GB" w:bidi="en-US"/>
        </w:rPr>
        <w:t>The course will address the topic of governance and institutions-driven development on the basis of a multidisciplinary framework, emphasizing planning theory</w:t>
      </w:r>
      <w:r>
        <w:rPr>
          <w:rFonts w:ascii="Myriad Pro" w:hAnsi="Myriad Pro" w:cs="FrutigerLT-Bold"/>
          <w:lang w:val="en-GB" w:bidi="en-US"/>
        </w:rPr>
        <w:t>, and underlining the spatial dimension of development</w:t>
      </w:r>
      <w:r w:rsidR="00484951">
        <w:rPr>
          <w:rFonts w:ascii="Myriad Pro" w:hAnsi="Myriad Pro" w:cs="FrutigerLT-Bold"/>
          <w:lang w:val="en-GB" w:bidi="en-US"/>
        </w:rPr>
        <w:t>, the role of formal vs informal institutions,</w:t>
      </w:r>
      <w:r>
        <w:rPr>
          <w:rFonts w:ascii="Myriad Pro" w:hAnsi="Myriad Pro" w:cs="FrutigerLT-Bold"/>
          <w:lang w:val="en-GB" w:bidi="en-US"/>
        </w:rPr>
        <w:t xml:space="preserve"> and critical perspectives on institutionalism.</w:t>
      </w:r>
    </w:p>
    <w:p w14:paraId="019DCB40" w14:textId="77777777" w:rsidR="0014128F" w:rsidRDefault="0014128F">
      <w:pPr>
        <w:rPr>
          <w:lang w:val="en-GB"/>
        </w:rPr>
      </w:pPr>
    </w:p>
    <w:p w14:paraId="1B393D4E" w14:textId="77777777" w:rsidR="0014128F" w:rsidRDefault="0014128F">
      <w:pPr>
        <w:rPr>
          <w:lang w:val="en-GB"/>
        </w:rPr>
      </w:pPr>
    </w:p>
    <w:p w14:paraId="789A8C82" w14:textId="77777777" w:rsidR="0014128F" w:rsidRDefault="0014128F" w:rsidP="0014128F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32"/>
          <w:lang w:val="en-GB" w:bidi="en-US"/>
        </w:rPr>
      </w:pPr>
      <w:r w:rsidRPr="00223AB7">
        <w:rPr>
          <w:rFonts w:ascii="Myriad Pro" w:hAnsi="Myriad Pro" w:cs="FrutigerLT-Bold"/>
          <w:sz w:val="32"/>
          <w:lang w:val="en-GB" w:bidi="en-US"/>
        </w:rPr>
        <w:t>Course Objectives</w:t>
      </w:r>
    </w:p>
    <w:p w14:paraId="4F580271" w14:textId="77777777" w:rsidR="00A636EE" w:rsidRPr="00A636EE" w:rsidRDefault="00A636EE" w:rsidP="00A636EE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lang w:val="en-GB" w:bidi="en-US"/>
        </w:rPr>
      </w:pPr>
      <w:r w:rsidRPr="00A636EE">
        <w:rPr>
          <w:rFonts w:ascii="Myriad Pro" w:hAnsi="Myriad Pro" w:cs="FrutigerLT-Bold"/>
          <w:lang w:val="en-GB" w:bidi="en-US"/>
        </w:rPr>
        <w:t>On completion of this course students should:</w:t>
      </w:r>
    </w:p>
    <w:p w14:paraId="7E629060" w14:textId="56EC1B08" w:rsidR="00A636EE" w:rsidRPr="00A636EE" w:rsidRDefault="00A636EE" w:rsidP="00A636EE">
      <w:pPr>
        <w:widowControl w:val="0"/>
        <w:autoSpaceDE w:val="0"/>
        <w:autoSpaceDN w:val="0"/>
        <w:adjustRightInd w:val="0"/>
        <w:jc w:val="both"/>
        <w:outlineLvl w:val="0"/>
        <w:rPr>
          <w:rFonts w:ascii="Myriad Pro" w:hAnsi="Myriad Pro" w:cs="FrutigerLT-Bold"/>
          <w:lang w:val="en-GB" w:bidi="en-US"/>
        </w:rPr>
      </w:pPr>
      <w:r w:rsidRPr="00A636EE">
        <w:rPr>
          <w:rFonts w:ascii="Myriad Pro" w:hAnsi="Myriad Pro" w:cs="FrutigerLT-Bold"/>
          <w:lang w:val="en-GB" w:bidi="en-US"/>
        </w:rPr>
        <w:t>-Understand the concept of governance/institutional development</w:t>
      </w:r>
    </w:p>
    <w:p w14:paraId="26499F39" w14:textId="4B5267F3" w:rsidR="00A636EE" w:rsidRPr="00A636EE" w:rsidRDefault="00A636EE" w:rsidP="00A636EE">
      <w:pPr>
        <w:widowControl w:val="0"/>
        <w:autoSpaceDE w:val="0"/>
        <w:autoSpaceDN w:val="0"/>
        <w:adjustRightInd w:val="0"/>
        <w:jc w:val="both"/>
        <w:outlineLvl w:val="0"/>
        <w:rPr>
          <w:rFonts w:ascii="Myriad Pro" w:hAnsi="Myriad Pro" w:cs="FrutigerLT-Bold"/>
          <w:lang w:val="en-GB" w:bidi="en-US"/>
        </w:rPr>
      </w:pPr>
      <w:r w:rsidRPr="00A636EE">
        <w:rPr>
          <w:rFonts w:ascii="Myriad Pro" w:hAnsi="Myriad Pro" w:cs="FrutigerLT-Bold"/>
          <w:lang w:val="en-GB" w:bidi="en-US"/>
        </w:rPr>
        <w:t xml:space="preserve">-Learn the contemporary traditions of public planning theory and understand their </w:t>
      </w:r>
      <w:r>
        <w:rPr>
          <w:rFonts w:ascii="Myriad Pro" w:hAnsi="Myriad Pro" w:cs="FrutigerLT-Bold"/>
          <w:lang w:val="en-GB" w:bidi="en-US"/>
        </w:rPr>
        <w:t xml:space="preserve">  </w:t>
      </w:r>
      <w:r w:rsidRPr="00A636EE">
        <w:rPr>
          <w:rFonts w:ascii="Myriad Pro" w:hAnsi="Myriad Pro" w:cs="FrutigerLT-Bold"/>
          <w:lang w:val="en-GB" w:bidi="en-US"/>
        </w:rPr>
        <w:t>practical implications</w:t>
      </w:r>
    </w:p>
    <w:p w14:paraId="203D6429" w14:textId="3A3F4CA8" w:rsidR="00A636EE" w:rsidRPr="00A636EE" w:rsidRDefault="00A636EE" w:rsidP="00A636EE">
      <w:pPr>
        <w:widowControl w:val="0"/>
        <w:autoSpaceDE w:val="0"/>
        <w:autoSpaceDN w:val="0"/>
        <w:adjustRightInd w:val="0"/>
        <w:jc w:val="both"/>
        <w:outlineLvl w:val="0"/>
        <w:rPr>
          <w:rFonts w:ascii="Myriad Pro" w:hAnsi="Myriad Pro" w:cs="FrutigerLT-Bold"/>
          <w:lang w:val="en-GB" w:bidi="en-US"/>
        </w:rPr>
      </w:pPr>
      <w:r w:rsidRPr="00A636EE">
        <w:rPr>
          <w:rFonts w:ascii="Myriad Pro" w:hAnsi="Myriad Pro" w:cs="FrutigerLT-Bold"/>
          <w:lang w:val="en-GB" w:bidi="en-US"/>
        </w:rPr>
        <w:t>-Learn the debate on the role of social resources in</w:t>
      </w:r>
      <w:r>
        <w:rPr>
          <w:rFonts w:ascii="Myriad Pro" w:hAnsi="Myriad Pro" w:cs="FrutigerLT-Bold"/>
          <w:lang w:val="en-GB" w:bidi="en-US"/>
        </w:rPr>
        <w:t xml:space="preserve"> fostering (sustainable)</w:t>
      </w:r>
      <w:r w:rsidRPr="00A636EE">
        <w:rPr>
          <w:rFonts w:ascii="Myriad Pro" w:hAnsi="Myriad Pro" w:cs="FrutigerLT-Bold"/>
          <w:lang w:val="en-GB" w:bidi="en-US"/>
        </w:rPr>
        <w:t xml:space="preserve"> development</w:t>
      </w:r>
    </w:p>
    <w:p w14:paraId="052AFC5F" w14:textId="77777777" w:rsidR="0014128F" w:rsidRDefault="0014128F">
      <w:pPr>
        <w:rPr>
          <w:lang w:val="en-GB"/>
        </w:rPr>
      </w:pPr>
    </w:p>
    <w:p w14:paraId="3F5EABD2" w14:textId="4697CB6E" w:rsidR="0014128F" w:rsidRDefault="0014128F">
      <w:pPr>
        <w:rPr>
          <w:rFonts w:ascii="Myriad Pro" w:hAnsi="Myriad Pro" w:cs="FrutigerLT-Bold"/>
          <w:sz w:val="32"/>
          <w:szCs w:val="32"/>
          <w:lang w:val="en-GB" w:bidi="en-US"/>
        </w:rPr>
      </w:pPr>
      <w:r w:rsidRPr="00A15979">
        <w:rPr>
          <w:rFonts w:ascii="Myriad Pro" w:hAnsi="Myriad Pro" w:cs="FrutigerLT-Bold"/>
          <w:sz w:val="32"/>
          <w:szCs w:val="32"/>
          <w:lang w:val="en-GB" w:bidi="en-US"/>
        </w:rPr>
        <w:t>Course Assignment</w:t>
      </w:r>
    </w:p>
    <w:p w14:paraId="21722159" w14:textId="09959FCF" w:rsidR="00F81486" w:rsidRDefault="00F81486" w:rsidP="00F81486">
      <w:pPr>
        <w:jc w:val="both"/>
        <w:rPr>
          <w:rFonts w:ascii="Myriad Pro" w:hAnsi="Myriad Pro" w:cs="FrutigerLT-Bold"/>
          <w:sz w:val="32"/>
          <w:szCs w:val="32"/>
          <w:lang w:val="en-GB" w:bidi="en-US"/>
        </w:rPr>
      </w:pPr>
      <w:r w:rsidRPr="00ED20A8">
        <w:rPr>
          <w:rFonts w:ascii="Myriad Pro" w:hAnsi="Myriad Pro" w:cs="FrutigerLT-Bold"/>
          <w:szCs w:val="18"/>
          <w:lang w:val="en-GB" w:bidi="en-US"/>
        </w:rPr>
        <w:t>The course assignment (</w:t>
      </w:r>
      <w:r>
        <w:rPr>
          <w:rFonts w:ascii="Myriad Pro" w:hAnsi="Myriad Pro" w:cs="FrutigerLT-Bold"/>
          <w:szCs w:val="18"/>
          <w:lang w:val="en-GB" w:bidi="en-US"/>
        </w:rPr>
        <w:t xml:space="preserve">not more than 6 </w:t>
      </w:r>
      <w:r w:rsidRPr="00ED20A8">
        <w:rPr>
          <w:rFonts w:ascii="Myriad Pro" w:hAnsi="Myriad Pro" w:cs="FrutigerLT-Bold"/>
          <w:szCs w:val="18"/>
          <w:lang w:val="en-GB" w:bidi="en-US"/>
        </w:rPr>
        <w:t>pages</w:t>
      </w:r>
      <w:r w:rsidR="00FC030F">
        <w:rPr>
          <w:rFonts w:ascii="Myriad Pro" w:hAnsi="Myriad Pro" w:cs="FrutigerLT-Bold"/>
          <w:szCs w:val="18"/>
          <w:lang w:val="en-GB" w:bidi="en-US"/>
        </w:rPr>
        <w:t>, in essay form)</w:t>
      </w:r>
      <w:r w:rsidRPr="00ED20A8">
        <w:rPr>
          <w:rFonts w:ascii="Myriad Pro" w:hAnsi="Myriad Pro" w:cs="FrutigerLT-Bold"/>
          <w:szCs w:val="18"/>
          <w:lang w:val="en-GB" w:bidi="en-US"/>
        </w:rPr>
        <w:t xml:space="preserve"> aims at evaluating the participants</w:t>
      </w:r>
      <w:r w:rsidR="000823C5">
        <w:rPr>
          <w:rFonts w:ascii="Myriad Pro" w:hAnsi="Myriad Pro" w:cs="FrutigerLT-Bold"/>
          <w:szCs w:val="18"/>
          <w:lang w:val="en-GB" w:bidi="en-US"/>
        </w:rPr>
        <w:t>’</w:t>
      </w:r>
      <w:r w:rsidRPr="00ED20A8">
        <w:rPr>
          <w:rFonts w:ascii="Myriad Pro" w:hAnsi="Myriad Pro" w:cs="FrutigerLT-Bold"/>
          <w:szCs w:val="18"/>
          <w:lang w:val="en-GB" w:bidi="en-US"/>
        </w:rPr>
        <w:t xml:space="preserve"> understanding about the main issues raised during the course.</w:t>
      </w:r>
      <w:r w:rsidRPr="00F81486">
        <w:rPr>
          <w:rFonts w:ascii="Myriad Pro" w:hAnsi="Myriad Pro" w:cs="FrutigerLT-Bold"/>
          <w:szCs w:val="18"/>
          <w:lang w:val="en-GB" w:bidi="en-US"/>
        </w:rPr>
        <w:t xml:space="preserve"> </w:t>
      </w:r>
      <w:r>
        <w:rPr>
          <w:rFonts w:ascii="Myriad Pro" w:hAnsi="Myriad Pro" w:cs="FrutigerLT-Bold"/>
          <w:szCs w:val="18"/>
          <w:lang w:val="en-GB" w:bidi="en-US"/>
        </w:rPr>
        <w:t>The assignment has to be submitted at the very latest by May 31.</w:t>
      </w:r>
    </w:p>
    <w:p w14:paraId="43C95F46" w14:textId="77777777" w:rsidR="0014128F" w:rsidRDefault="0014128F">
      <w:pPr>
        <w:rPr>
          <w:rFonts w:ascii="Myriad Pro" w:hAnsi="Myriad Pro" w:cs="FrutigerLT-Bold"/>
          <w:sz w:val="32"/>
          <w:szCs w:val="32"/>
          <w:lang w:val="en-GB" w:bidi="en-US"/>
        </w:rPr>
      </w:pPr>
    </w:p>
    <w:p w14:paraId="0352F208" w14:textId="77777777" w:rsidR="0014128F" w:rsidRDefault="0014128F" w:rsidP="0014128F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32"/>
          <w:lang w:val="en-GB" w:bidi="en-US"/>
        </w:rPr>
      </w:pPr>
      <w:r w:rsidRPr="00223AB7">
        <w:rPr>
          <w:rFonts w:ascii="Myriad Pro" w:hAnsi="Myriad Pro" w:cs="FrutigerLT-Bold"/>
          <w:sz w:val="32"/>
          <w:lang w:val="en-GB" w:bidi="en-US"/>
        </w:rPr>
        <w:t>Key Readings</w:t>
      </w:r>
    </w:p>
    <w:p w14:paraId="3561AADD" w14:textId="5FCF686D" w:rsidR="004B45B8" w:rsidRDefault="004B45B8" w:rsidP="004B45B8">
      <w:pPr>
        <w:pStyle w:val="pf0"/>
        <w:rPr>
          <w:rStyle w:val="cf01"/>
          <w:sz w:val="24"/>
          <w:szCs w:val="24"/>
        </w:rPr>
      </w:pPr>
      <w:r w:rsidRPr="000103A1">
        <w:rPr>
          <w:rStyle w:val="cf01"/>
          <w:sz w:val="24"/>
          <w:szCs w:val="24"/>
        </w:rPr>
        <w:t xml:space="preserve">Friedmann, J. (1987). </w:t>
      </w:r>
      <w:r w:rsidR="0017179F" w:rsidRPr="0017179F">
        <w:rPr>
          <w:rStyle w:val="cf01"/>
          <w:i/>
          <w:iCs/>
          <w:sz w:val="24"/>
          <w:szCs w:val="24"/>
        </w:rPr>
        <w:t>Planning in the Public Domain</w:t>
      </w:r>
      <w:r w:rsidRPr="000103A1">
        <w:rPr>
          <w:rStyle w:val="cf01"/>
          <w:sz w:val="24"/>
          <w:szCs w:val="24"/>
        </w:rPr>
        <w:t>. Princeton University Press.</w:t>
      </w:r>
    </w:p>
    <w:p w14:paraId="06CF3381" w14:textId="6C7C9B70" w:rsidR="00933161" w:rsidRDefault="00933161" w:rsidP="000103A1">
      <w:pPr>
        <w:pStyle w:val="pf0"/>
        <w:jc w:val="both"/>
        <w:rPr>
          <w:rFonts w:ascii="Segoe UI" w:hAnsi="Segoe UI" w:cs="Segoe UI"/>
          <w:lang w:val="en-US"/>
        </w:rPr>
      </w:pPr>
      <w:r>
        <w:rPr>
          <w:rStyle w:val="cf01"/>
          <w:sz w:val="24"/>
          <w:szCs w:val="24"/>
        </w:rPr>
        <w:lastRenderedPageBreak/>
        <w:t xml:space="preserve">Hadjimichalis, C. (2006). </w:t>
      </w:r>
      <w:r w:rsidR="0017179F" w:rsidRPr="00933161">
        <w:rPr>
          <w:rFonts w:ascii="Segoe UI" w:hAnsi="Segoe UI" w:cs="Segoe UI"/>
          <w:lang w:val="en-US"/>
        </w:rPr>
        <w:t xml:space="preserve">Non-Economic Factors </w:t>
      </w:r>
      <w:r w:rsidR="0017179F">
        <w:rPr>
          <w:rFonts w:ascii="Segoe UI" w:hAnsi="Segoe UI" w:cs="Segoe UI"/>
          <w:lang w:val="en-US"/>
        </w:rPr>
        <w:t>i</w:t>
      </w:r>
      <w:r w:rsidR="0017179F" w:rsidRPr="00933161">
        <w:rPr>
          <w:rFonts w:ascii="Segoe UI" w:hAnsi="Segoe UI" w:cs="Segoe UI"/>
          <w:lang w:val="en-US"/>
        </w:rPr>
        <w:t xml:space="preserve">n Economic Geography </w:t>
      </w:r>
      <w:r w:rsidR="0017179F">
        <w:rPr>
          <w:rFonts w:ascii="Segoe UI" w:hAnsi="Segoe UI" w:cs="Segoe UI"/>
          <w:lang w:val="en-US"/>
        </w:rPr>
        <w:t>a</w:t>
      </w:r>
      <w:r w:rsidR="0017179F" w:rsidRPr="00933161">
        <w:rPr>
          <w:rFonts w:ascii="Segoe UI" w:hAnsi="Segoe UI" w:cs="Segoe UI"/>
          <w:lang w:val="en-US"/>
        </w:rPr>
        <w:t xml:space="preserve">nd </w:t>
      </w:r>
      <w:r w:rsidR="0017179F">
        <w:rPr>
          <w:rFonts w:ascii="Segoe UI" w:hAnsi="Segoe UI" w:cs="Segoe UI"/>
          <w:lang w:val="en-US"/>
        </w:rPr>
        <w:t>i</w:t>
      </w:r>
      <w:r w:rsidR="0017179F" w:rsidRPr="00933161">
        <w:rPr>
          <w:rFonts w:ascii="Segoe UI" w:hAnsi="Segoe UI" w:cs="Segoe UI"/>
          <w:lang w:val="en-US"/>
        </w:rPr>
        <w:t>n ‘New Regionalism’: A Sympathetic Critique</w:t>
      </w:r>
      <w:r>
        <w:rPr>
          <w:rFonts w:ascii="Segoe UI" w:hAnsi="Segoe UI" w:cs="Segoe UI"/>
          <w:lang w:val="en-US"/>
        </w:rPr>
        <w:t xml:space="preserve">. </w:t>
      </w:r>
      <w:r w:rsidR="009B7B2C" w:rsidRPr="0017179F">
        <w:rPr>
          <w:rFonts w:ascii="Segoe UI" w:hAnsi="Segoe UI" w:cs="Segoe UI"/>
          <w:i/>
          <w:iCs/>
          <w:lang w:val="en-US"/>
        </w:rPr>
        <w:t>International Journal of Urban and Regional Research</w:t>
      </w:r>
      <w:r w:rsidR="009B7B2C">
        <w:rPr>
          <w:rFonts w:ascii="Segoe UI" w:hAnsi="Segoe UI" w:cs="Segoe UI"/>
          <w:lang w:val="en-US"/>
        </w:rPr>
        <w:t>, 30.3: 690-704.</w:t>
      </w:r>
    </w:p>
    <w:p w14:paraId="4302FCB0" w14:textId="456252BE" w:rsidR="005F40AF" w:rsidRDefault="005F40AF" w:rsidP="005F40AF">
      <w:pPr>
        <w:pStyle w:val="pf0"/>
        <w:jc w:val="both"/>
        <w:rPr>
          <w:rStyle w:val="cf01"/>
          <w:sz w:val="24"/>
          <w:szCs w:val="24"/>
        </w:rPr>
      </w:pPr>
      <w:r w:rsidRPr="005F40AF">
        <w:rPr>
          <w:rFonts w:ascii="Segoe UI" w:hAnsi="Segoe UI" w:cs="Segoe UI"/>
        </w:rPr>
        <w:t>Lang</w:t>
      </w:r>
      <w:r w:rsidR="00711F20">
        <w:rPr>
          <w:rFonts w:ascii="Segoe UI" w:hAnsi="Segoe UI" w:cs="Segoe UI"/>
        </w:rPr>
        <w:t>,</w:t>
      </w:r>
      <w:r w:rsidRPr="005F40AF">
        <w:rPr>
          <w:rFonts w:ascii="Segoe UI" w:hAnsi="Segoe UI" w:cs="Segoe UI"/>
        </w:rPr>
        <w:t xml:space="preserve"> T</w:t>
      </w:r>
      <w:r w:rsidR="00711F20">
        <w:rPr>
          <w:rFonts w:ascii="Segoe UI" w:hAnsi="Segoe UI" w:cs="Segoe UI"/>
        </w:rPr>
        <w:t>.</w:t>
      </w:r>
      <w:r w:rsidRPr="005F40AF">
        <w:rPr>
          <w:rFonts w:ascii="Segoe UI" w:hAnsi="Segoe UI" w:cs="Segoe UI"/>
        </w:rPr>
        <w:t>, Burneika</w:t>
      </w:r>
      <w:r w:rsidR="00711F20">
        <w:rPr>
          <w:rFonts w:ascii="Segoe UI" w:hAnsi="Segoe UI" w:cs="Segoe UI"/>
        </w:rPr>
        <w:t>,</w:t>
      </w:r>
      <w:r w:rsidRPr="005F40AF">
        <w:rPr>
          <w:rFonts w:ascii="Segoe UI" w:hAnsi="Segoe UI" w:cs="Segoe UI"/>
        </w:rPr>
        <w:t xml:space="preserve"> D</w:t>
      </w:r>
      <w:r w:rsidR="00711F20">
        <w:rPr>
          <w:rFonts w:ascii="Segoe UI" w:hAnsi="Segoe UI" w:cs="Segoe UI"/>
        </w:rPr>
        <w:t>.</w:t>
      </w:r>
      <w:r w:rsidRPr="005F40AF">
        <w:rPr>
          <w:rFonts w:ascii="Segoe UI" w:hAnsi="Segoe UI" w:cs="Segoe UI"/>
        </w:rPr>
        <w:t>, Noorkõiv</w:t>
      </w:r>
      <w:r w:rsidR="00711F20">
        <w:rPr>
          <w:rFonts w:ascii="Segoe UI" w:hAnsi="Segoe UI" w:cs="Segoe UI"/>
        </w:rPr>
        <w:t>,</w:t>
      </w:r>
      <w:r w:rsidRPr="005F40AF">
        <w:rPr>
          <w:rFonts w:ascii="Segoe UI" w:hAnsi="Segoe UI" w:cs="Segoe UI"/>
        </w:rPr>
        <w:t xml:space="preserve"> R</w:t>
      </w:r>
      <w:r w:rsidR="00711F20">
        <w:rPr>
          <w:rFonts w:ascii="Segoe UI" w:hAnsi="Segoe UI" w:cs="Segoe UI"/>
        </w:rPr>
        <w:t>.</w:t>
      </w:r>
      <w:r w:rsidRPr="005F40AF">
        <w:rPr>
          <w:rFonts w:ascii="Segoe UI" w:hAnsi="Segoe UI" w:cs="Segoe UI"/>
        </w:rPr>
        <w:t>, Plüschke-Altof</w:t>
      </w:r>
      <w:r w:rsidR="00711F20">
        <w:rPr>
          <w:rFonts w:ascii="Segoe UI" w:hAnsi="Segoe UI" w:cs="Segoe UI"/>
        </w:rPr>
        <w:t>,</w:t>
      </w:r>
      <w:r w:rsidRPr="005F40AF">
        <w:rPr>
          <w:rFonts w:ascii="Segoe UI" w:hAnsi="Segoe UI" w:cs="Segoe UI"/>
        </w:rPr>
        <w:t xml:space="preserve"> B</w:t>
      </w:r>
      <w:r w:rsidR="00711F20">
        <w:rPr>
          <w:rFonts w:ascii="Segoe UI" w:hAnsi="Segoe UI" w:cs="Segoe UI"/>
        </w:rPr>
        <w:t>.</w:t>
      </w:r>
      <w:r w:rsidRPr="005F40AF">
        <w:rPr>
          <w:rFonts w:ascii="Segoe UI" w:hAnsi="Segoe UI" w:cs="Segoe UI"/>
        </w:rPr>
        <w:t>, Pociūtė-Sereikienė</w:t>
      </w:r>
      <w:r w:rsidR="00711F20">
        <w:rPr>
          <w:rFonts w:ascii="Segoe UI" w:hAnsi="Segoe UI" w:cs="Segoe UI"/>
        </w:rPr>
        <w:t>,</w:t>
      </w:r>
      <w:r w:rsidRPr="005F40AF">
        <w:rPr>
          <w:rFonts w:ascii="Segoe UI" w:hAnsi="Segoe UI" w:cs="Segoe UI"/>
        </w:rPr>
        <w:t xml:space="preserve"> G</w:t>
      </w:r>
      <w:r w:rsidR="00711F20">
        <w:rPr>
          <w:rFonts w:ascii="Segoe UI" w:hAnsi="Segoe UI" w:cs="Segoe UI"/>
        </w:rPr>
        <w:t>.</w:t>
      </w:r>
      <w:r w:rsidRPr="005F40AF">
        <w:rPr>
          <w:rFonts w:ascii="Segoe UI" w:hAnsi="Segoe UI" w:cs="Segoe UI"/>
        </w:rPr>
        <w:t>, Sechi</w:t>
      </w:r>
      <w:r w:rsidR="00711F20">
        <w:rPr>
          <w:rFonts w:ascii="Segoe UI" w:hAnsi="Segoe UI" w:cs="Segoe UI"/>
        </w:rPr>
        <w:t>,</w:t>
      </w:r>
      <w:r w:rsidRPr="005F40AF">
        <w:rPr>
          <w:rFonts w:ascii="Segoe UI" w:hAnsi="Segoe UI" w:cs="Segoe UI"/>
        </w:rPr>
        <w:t xml:space="preserve"> G. (2022)</w:t>
      </w:r>
      <w:r w:rsidR="00711F20">
        <w:rPr>
          <w:rFonts w:ascii="Segoe UI" w:hAnsi="Segoe UI" w:cs="Segoe UI"/>
        </w:rPr>
        <w:t>.</w:t>
      </w:r>
      <w:r w:rsidRPr="005F40AF">
        <w:rPr>
          <w:rFonts w:ascii="Segoe UI" w:hAnsi="Segoe UI" w:cs="Segoe UI"/>
        </w:rPr>
        <w:t xml:space="preserve"> </w:t>
      </w:r>
      <w:r w:rsidR="0017179F" w:rsidRPr="005F40AF">
        <w:rPr>
          <w:rFonts w:ascii="Segoe UI" w:hAnsi="Segoe UI" w:cs="Segoe UI"/>
        </w:rPr>
        <w:t xml:space="preserve">Socio-Spatial Polarisation </w:t>
      </w:r>
      <w:r w:rsidR="0017179F">
        <w:rPr>
          <w:rFonts w:ascii="Segoe UI" w:hAnsi="Segoe UI" w:cs="Segoe UI"/>
        </w:rPr>
        <w:t>a</w:t>
      </w:r>
      <w:r w:rsidR="0017179F" w:rsidRPr="005F40AF">
        <w:rPr>
          <w:rFonts w:ascii="Segoe UI" w:hAnsi="Segoe UI" w:cs="Segoe UI"/>
        </w:rPr>
        <w:t>nd Policy Response: Perspectives For Regional Development In The Baltic States</w:t>
      </w:r>
      <w:r w:rsidRPr="005F40AF">
        <w:rPr>
          <w:rFonts w:ascii="Segoe UI" w:hAnsi="Segoe UI" w:cs="Segoe UI"/>
        </w:rPr>
        <w:t xml:space="preserve">. </w:t>
      </w:r>
      <w:r w:rsidRPr="005F40AF">
        <w:rPr>
          <w:rFonts w:ascii="Segoe UI" w:hAnsi="Segoe UI" w:cs="Segoe UI"/>
          <w:i/>
          <w:iCs/>
        </w:rPr>
        <w:t>European Urban and Regional Studies</w:t>
      </w:r>
      <w:r w:rsidR="00711F20">
        <w:rPr>
          <w:rFonts w:ascii="Segoe UI" w:hAnsi="Segoe UI" w:cs="Segoe UI"/>
        </w:rPr>
        <w:t xml:space="preserve">, </w:t>
      </w:r>
      <w:r w:rsidRPr="005F40AF">
        <w:rPr>
          <w:rFonts w:ascii="Segoe UI" w:hAnsi="Segoe UI" w:cs="Segoe UI"/>
        </w:rPr>
        <w:t>29(1)</w:t>
      </w:r>
      <w:r w:rsidR="0017179F">
        <w:rPr>
          <w:rFonts w:ascii="Segoe UI" w:hAnsi="Segoe UI" w:cs="Segoe UI"/>
        </w:rPr>
        <w:t xml:space="preserve"> </w:t>
      </w:r>
      <w:r w:rsidRPr="005F40AF">
        <w:rPr>
          <w:rFonts w:ascii="Segoe UI" w:hAnsi="Segoe UI" w:cs="Segoe UI"/>
        </w:rPr>
        <w:t>:21-44. doi:10.1177/09697764211023553.</w:t>
      </w:r>
    </w:p>
    <w:p w14:paraId="09ACC274" w14:textId="100001BE" w:rsidR="00F44842" w:rsidRDefault="00F44842" w:rsidP="009B7B2C">
      <w:pPr>
        <w:pStyle w:val="pf0"/>
        <w:jc w:val="both"/>
        <w:rPr>
          <w:rStyle w:val="cf01"/>
          <w:sz w:val="24"/>
          <w:szCs w:val="24"/>
        </w:rPr>
      </w:pPr>
      <w:r w:rsidRPr="00F44842">
        <w:rPr>
          <w:rStyle w:val="cf01"/>
          <w:sz w:val="24"/>
          <w:szCs w:val="24"/>
        </w:rPr>
        <w:t>North, D</w:t>
      </w:r>
      <w:r>
        <w:rPr>
          <w:rStyle w:val="cf01"/>
          <w:sz w:val="24"/>
          <w:szCs w:val="24"/>
        </w:rPr>
        <w:t xml:space="preserve">. (1990). </w:t>
      </w:r>
      <w:r w:rsidR="00396B2E" w:rsidRPr="00396B2E">
        <w:rPr>
          <w:rStyle w:val="cf01"/>
          <w:i/>
          <w:iCs/>
          <w:sz w:val="24"/>
          <w:szCs w:val="24"/>
        </w:rPr>
        <w:t xml:space="preserve">Institutions, Institutional Change </w:t>
      </w:r>
      <w:r w:rsidR="00396B2E">
        <w:rPr>
          <w:rStyle w:val="cf01"/>
          <w:i/>
          <w:iCs/>
          <w:sz w:val="24"/>
          <w:szCs w:val="24"/>
        </w:rPr>
        <w:t>a</w:t>
      </w:r>
      <w:r w:rsidR="00396B2E" w:rsidRPr="00396B2E">
        <w:rPr>
          <w:rStyle w:val="cf01"/>
          <w:i/>
          <w:iCs/>
          <w:sz w:val="24"/>
          <w:szCs w:val="24"/>
        </w:rPr>
        <w:t>nd Economic Performance</w:t>
      </w:r>
      <w:r w:rsidR="005F40AF">
        <w:rPr>
          <w:rStyle w:val="cf01"/>
          <w:sz w:val="24"/>
          <w:szCs w:val="24"/>
        </w:rPr>
        <w:t>.</w:t>
      </w:r>
      <w:r w:rsidRPr="00F44842">
        <w:rPr>
          <w:rStyle w:val="cf01"/>
          <w:sz w:val="24"/>
          <w:szCs w:val="24"/>
        </w:rPr>
        <w:t xml:space="preserve"> Cambridge University Press</w:t>
      </w:r>
      <w:r>
        <w:rPr>
          <w:rStyle w:val="cf01"/>
          <w:sz w:val="24"/>
          <w:szCs w:val="24"/>
        </w:rPr>
        <w:t>.</w:t>
      </w:r>
    </w:p>
    <w:p w14:paraId="63CDFC4D" w14:textId="21FF20A1" w:rsidR="00244C4B" w:rsidRDefault="00244C4B" w:rsidP="009B7B2C">
      <w:pPr>
        <w:pStyle w:val="pf0"/>
        <w:jc w:val="both"/>
        <w:rPr>
          <w:rStyle w:val="cf01"/>
          <w:sz w:val="24"/>
          <w:szCs w:val="24"/>
        </w:rPr>
      </w:pPr>
      <w:r w:rsidRPr="00244C4B">
        <w:rPr>
          <w:rFonts w:ascii="Segoe UI" w:hAnsi="Segoe UI" w:cs="Segoe UI"/>
          <w:lang w:val="en-US"/>
        </w:rPr>
        <w:t>SWYNGEDOUW, E.</w:t>
      </w:r>
      <w:r>
        <w:rPr>
          <w:rFonts w:ascii="Segoe UI" w:hAnsi="Segoe UI" w:cs="Segoe UI"/>
          <w:lang w:val="en-US"/>
        </w:rPr>
        <w:t xml:space="preserve"> (2016).</w:t>
      </w:r>
      <w:r w:rsidRPr="00244C4B">
        <w:rPr>
          <w:rFonts w:ascii="Segoe UI" w:hAnsi="Segoe UI" w:cs="Segoe UI"/>
          <w:lang w:val="en-US"/>
        </w:rPr>
        <w:t xml:space="preserve"> </w:t>
      </w:r>
      <w:r w:rsidR="00D223D9" w:rsidRPr="00244C4B">
        <w:rPr>
          <w:rFonts w:ascii="Segoe UI" w:hAnsi="Segoe UI" w:cs="Segoe UI"/>
          <w:lang w:val="en-US"/>
        </w:rPr>
        <w:t xml:space="preserve">Civil Society, Governmentality </w:t>
      </w:r>
      <w:r w:rsidR="00D223D9">
        <w:rPr>
          <w:rFonts w:ascii="Segoe UI" w:hAnsi="Segoe UI" w:cs="Segoe UI"/>
          <w:lang w:val="en-US"/>
        </w:rPr>
        <w:t>a</w:t>
      </w:r>
      <w:r w:rsidR="00D223D9" w:rsidRPr="00244C4B">
        <w:rPr>
          <w:rFonts w:ascii="Segoe UI" w:hAnsi="Segoe UI" w:cs="Segoe UI"/>
          <w:lang w:val="en-US"/>
        </w:rPr>
        <w:t>nd The Contradictions Of Governance-Beyond-The-State: The Janus-Face Of Social Innovation</w:t>
      </w:r>
      <w:r w:rsidRPr="00244C4B">
        <w:rPr>
          <w:rFonts w:ascii="Segoe UI" w:hAnsi="Segoe UI" w:cs="Segoe UI"/>
          <w:lang w:val="en-US"/>
        </w:rPr>
        <w:t>. In: </w:t>
      </w:r>
      <w:r w:rsidR="00203A22" w:rsidRPr="00203A22">
        <w:rPr>
          <w:rFonts w:ascii="Segoe UI" w:hAnsi="Segoe UI" w:cs="Segoe UI"/>
          <w:lang w:val="en-US"/>
        </w:rPr>
        <w:t>Mac Callum, D., Moulaert, F., Hillier, J. &amp; Vicari Haddock, S. (</w:t>
      </w:r>
      <w:r w:rsidR="00203A22">
        <w:rPr>
          <w:rFonts w:ascii="Segoe UI" w:hAnsi="Segoe UI" w:cs="Segoe UI"/>
          <w:lang w:val="en-US"/>
        </w:rPr>
        <w:t>e</w:t>
      </w:r>
      <w:r w:rsidR="00203A22" w:rsidRPr="00203A22">
        <w:rPr>
          <w:rFonts w:ascii="Segoe UI" w:hAnsi="Segoe UI" w:cs="Segoe UI"/>
          <w:lang w:val="en-US"/>
        </w:rPr>
        <w:t xml:space="preserve">ds) </w:t>
      </w:r>
      <w:r w:rsidR="00D223D9" w:rsidRPr="00D223D9">
        <w:rPr>
          <w:rFonts w:ascii="Segoe UI" w:hAnsi="Segoe UI" w:cs="Segoe UI"/>
          <w:i/>
          <w:iCs/>
          <w:lang w:val="en-US"/>
        </w:rPr>
        <w:t>Social Innovation and Territorial Development</w:t>
      </w:r>
      <w:r w:rsidRPr="00244C4B">
        <w:rPr>
          <w:rFonts w:ascii="Segoe UI" w:hAnsi="Segoe UI" w:cs="Segoe UI"/>
          <w:lang w:val="en-US"/>
        </w:rPr>
        <w:t xml:space="preserve">. </w:t>
      </w:r>
      <w:r w:rsidR="00203A22">
        <w:rPr>
          <w:rFonts w:ascii="Segoe UI" w:hAnsi="Segoe UI" w:cs="Segoe UI"/>
          <w:lang w:val="en-US"/>
        </w:rPr>
        <w:t>Routledge</w:t>
      </w:r>
      <w:r w:rsidR="005163F5">
        <w:rPr>
          <w:rFonts w:ascii="Segoe UI" w:hAnsi="Segoe UI" w:cs="Segoe UI"/>
          <w:lang w:val="en-US"/>
        </w:rPr>
        <w:t>: London &amp; New York</w:t>
      </w:r>
      <w:r w:rsidR="00203A22">
        <w:rPr>
          <w:rFonts w:ascii="Segoe UI" w:hAnsi="Segoe UI" w:cs="Segoe UI"/>
          <w:lang w:val="en-US"/>
        </w:rPr>
        <w:t xml:space="preserve">, </w:t>
      </w:r>
      <w:r w:rsidRPr="00244C4B">
        <w:rPr>
          <w:rFonts w:ascii="Segoe UI" w:hAnsi="Segoe UI" w:cs="Segoe UI"/>
          <w:lang w:val="en-US"/>
        </w:rPr>
        <w:t>p. 63-78.</w:t>
      </w:r>
    </w:p>
    <w:p w14:paraId="11A9DDED" w14:textId="4D3E7A3D" w:rsidR="0014128F" w:rsidRDefault="0014128F">
      <w:pPr>
        <w:rPr>
          <w:rFonts w:ascii="Myriad Pro" w:hAnsi="Myriad Pro" w:cs="FrutigerLT-Bold"/>
          <w:sz w:val="32"/>
          <w:szCs w:val="32"/>
          <w:lang w:val="en-GB" w:bidi="en-US"/>
        </w:rPr>
      </w:pPr>
      <w:r>
        <w:rPr>
          <w:rFonts w:ascii="Myriad Pro" w:hAnsi="Myriad Pro" w:cs="FrutigerLT-Bold"/>
          <w:sz w:val="32"/>
          <w:szCs w:val="32"/>
          <w:lang w:val="en-GB" w:bidi="en-US"/>
        </w:rPr>
        <w:t>Course Schedule</w:t>
      </w:r>
    </w:p>
    <w:p w14:paraId="1FB7448B" w14:textId="77777777" w:rsidR="006A4E38" w:rsidRDefault="006A4E38">
      <w:pPr>
        <w:rPr>
          <w:rFonts w:ascii="Myriad Pro" w:hAnsi="Myriad Pro" w:cs="FrutigerLT-Bold"/>
          <w:sz w:val="32"/>
          <w:szCs w:val="32"/>
          <w:lang w:val="en-GB" w:bidi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189"/>
        <w:gridCol w:w="1203"/>
        <w:gridCol w:w="1203"/>
        <w:gridCol w:w="1242"/>
        <w:gridCol w:w="1242"/>
        <w:gridCol w:w="1203"/>
        <w:gridCol w:w="1149"/>
      </w:tblGrid>
      <w:tr w:rsidR="00A73F02" w:rsidRPr="00B303F0" w14:paraId="7AFDA548" w14:textId="77777777" w:rsidTr="006A4E38">
        <w:tc>
          <w:tcPr>
            <w:tcW w:w="562" w:type="dxa"/>
          </w:tcPr>
          <w:p w14:paraId="0B7CAA08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</w:p>
        </w:tc>
        <w:tc>
          <w:tcPr>
            <w:tcW w:w="1114" w:type="dxa"/>
          </w:tcPr>
          <w:p w14:paraId="48939AE5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April 1</w:t>
            </w: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5</w:t>
            </w:r>
          </w:p>
        </w:tc>
        <w:tc>
          <w:tcPr>
            <w:tcW w:w="1126" w:type="dxa"/>
          </w:tcPr>
          <w:p w14:paraId="61AA208D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April 1</w:t>
            </w: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6</w:t>
            </w:r>
          </w:p>
        </w:tc>
        <w:tc>
          <w:tcPr>
            <w:tcW w:w="1126" w:type="dxa"/>
          </w:tcPr>
          <w:p w14:paraId="56AFA780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April 1</w:t>
            </w: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7</w:t>
            </w:r>
          </w:p>
        </w:tc>
        <w:tc>
          <w:tcPr>
            <w:tcW w:w="1162" w:type="dxa"/>
          </w:tcPr>
          <w:p w14:paraId="2BB9B105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 xml:space="preserve">April </w:t>
            </w: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18</w:t>
            </w:r>
          </w:p>
        </w:tc>
        <w:tc>
          <w:tcPr>
            <w:tcW w:w="1126" w:type="dxa"/>
          </w:tcPr>
          <w:p w14:paraId="0DC8C64A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April 19</w:t>
            </w:r>
          </w:p>
        </w:tc>
        <w:tc>
          <w:tcPr>
            <w:tcW w:w="1162" w:type="dxa"/>
          </w:tcPr>
          <w:p w14:paraId="6A6BC492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April 22</w:t>
            </w:r>
          </w:p>
        </w:tc>
        <w:tc>
          <w:tcPr>
            <w:tcW w:w="1076" w:type="dxa"/>
          </w:tcPr>
          <w:p w14:paraId="4360FE04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April 23</w:t>
            </w:r>
          </w:p>
        </w:tc>
      </w:tr>
      <w:tr w:rsidR="00A73F02" w:rsidRPr="00B303F0" w14:paraId="1FA2F4AC" w14:textId="77777777" w:rsidTr="006A4E38">
        <w:tc>
          <w:tcPr>
            <w:tcW w:w="562" w:type="dxa"/>
          </w:tcPr>
          <w:p w14:paraId="6FBAC672" w14:textId="6C06018E" w:rsidR="006A4E38" w:rsidRPr="00B303F0" w:rsidRDefault="004830BF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10</w:t>
            </w:r>
            <w:r w:rsidR="006A4E38"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-1</w:t>
            </w:r>
            <w:r>
              <w:rPr>
                <w:rFonts w:ascii="Myriad Pro" w:hAnsi="Myriad Pro" w:cs="FrutigerLT-Bold"/>
                <w:b/>
                <w:bCs/>
                <w:lang w:val="en-GB" w:bidi="en-US"/>
              </w:rPr>
              <w:t>1</w:t>
            </w:r>
            <w:r w:rsidR="006A4E38"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h</w:t>
            </w:r>
          </w:p>
        </w:tc>
        <w:tc>
          <w:tcPr>
            <w:tcW w:w="1114" w:type="dxa"/>
            <w:vMerge w:val="restart"/>
          </w:tcPr>
          <w:p w14:paraId="4220ABDF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 w:rsidRPr="00B303F0"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 xml:space="preserve">Introduction:  </w:t>
            </w:r>
            <w:r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>institutional economics and planning theory</w:t>
            </w:r>
          </w:p>
        </w:tc>
        <w:tc>
          <w:tcPr>
            <w:tcW w:w="1126" w:type="dxa"/>
            <w:vMerge w:val="restart"/>
          </w:tcPr>
          <w:p w14:paraId="7A6E6C3D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 xml:space="preserve"> Social and institutional factors in growth and development ((I)</w:t>
            </w:r>
          </w:p>
        </w:tc>
        <w:tc>
          <w:tcPr>
            <w:tcW w:w="1126" w:type="dxa"/>
            <w:vMerge w:val="restart"/>
          </w:tcPr>
          <w:p w14:paraId="76AD38F0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>Social and institutional factors in growth and development (II)</w:t>
            </w:r>
          </w:p>
        </w:tc>
        <w:tc>
          <w:tcPr>
            <w:tcW w:w="1162" w:type="dxa"/>
            <w:vMerge w:val="restart"/>
          </w:tcPr>
          <w:p w14:paraId="19CE76BB" w14:textId="77094C6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>Public planning and development: the debate on decision making in planning theory</w:t>
            </w:r>
          </w:p>
        </w:tc>
        <w:tc>
          <w:tcPr>
            <w:tcW w:w="1126" w:type="dxa"/>
            <w:vMerge w:val="restart"/>
          </w:tcPr>
          <w:p w14:paraId="20ADAD97" w14:textId="1E575CEA" w:rsidR="003A06F9" w:rsidRDefault="003A06F9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 w:rsidRPr="003A06F9"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>Institutions and development: critical perspectives</w:t>
            </w:r>
          </w:p>
        </w:tc>
        <w:tc>
          <w:tcPr>
            <w:tcW w:w="1162" w:type="dxa"/>
            <w:vMerge w:val="restart"/>
          </w:tcPr>
          <w:p w14:paraId="6E06DAE1" w14:textId="13615029" w:rsidR="00A73F02" w:rsidRDefault="00A73F02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>Institutions and development in the post-transition region</w:t>
            </w:r>
          </w:p>
          <w:p w14:paraId="41E94289" w14:textId="1359C0F8" w:rsidR="003A06F9" w:rsidRDefault="003A06F9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</w:p>
        </w:tc>
        <w:tc>
          <w:tcPr>
            <w:tcW w:w="1076" w:type="dxa"/>
            <w:vMerge w:val="restart"/>
          </w:tcPr>
          <w:p w14:paraId="2CAA62F4" w14:textId="77777777" w:rsidR="006A4E38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</w:pPr>
            <w:r>
              <w:rPr>
                <w:rFonts w:ascii="Myriad Pro" w:hAnsi="Myriad Pro" w:cs="FrutigerLT-Bold"/>
                <w:i/>
                <w:iCs/>
                <w:sz w:val="20"/>
                <w:szCs w:val="20"/>
                <w:lang w:val="en-GB" w:bidi="en-US"/>
              </w:rPr>
              <w:t>Course summary and introduction of the final assignment</w:t>
            </w:r>
          </w:p>
        </w:tc>
      </w:tr>
      <w:tr w:rsidR="00A73F02" w:rsidRPr="00B303F0" w14:paraId="2A4CD835" w14:textId="77777777" w:rsidTr="006A4E38">
        <w:tc>
          <w:tcPr>
            <w:tcW w:w="562" w:type="dxa"/>
          </w:tcPr>
          <w:p w14:paraId="49912FA5" w14:textId="26559D7C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1</w:t>
            </w:r>
            <w:r w:rsidR="004830BF">
              <w:rPr>
                <w:rFonts w:ascii="Myriad Pro" w:hAnsi="Myriad Pro" w:cs="FrutigerLT-Bold"/>
                <w:b/>
                <w:bCs/>
                <w:lang w:val="en-GB" w:bidi="en-US"/>
              </w:rPr>
              <w:t>1</w:t>
            </w: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-1</w:t>
            </w:r>
            <w:r w:rsidR="004830BF">
              <w:rPr>
                <w:rFonts w:ascii="Myriad Pro" w:hAnsi="Myriad Pro" w:cs="FrutigerLT-Bold"/>
                <w:b/>
                <w:bCs/>
                <w:lang w:val="en-GB" w:bidi="en-US"/>
              </w:rPr>
              <w:t>2</w:t>
            </w: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h</w:t>
            </w:r>
          </w:p>
        </w:tc>
        <w:tc>
          <w:tcPr>
            <w:tcW w:w="1114" w:type="dxa"/>
            <w:vMerge/>
          </w:tcPr>
          <w:p w14:paraId="61DD9984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26" w:type="dxa"/>
            <w:vMerge/>
          </w:tcPr>
          <w:p w14:paraId="0D574F39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26" w:type="dxa"/>
            <w:vMerge/>
          </w:tcPr>
          <w:p w14:paraId="6986F141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62" w:type="dxa"/>
            <w:vMerge/>
          </w:tcPr>
          <w:p w14:paraId="78E2499D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26" w:type="dxa"/>
            <w:vMerge/>
          </w:tcPr>
          <w:p w14:paraId="1C2F07AB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62" w:type="dxa"/>
            <w:vMerge/>
          </w:tcPr>
          <w:p w14:paraId="5345F9DF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076" w:type="dxa"/>
            <w:vMerge/>
          </w:tcPr>
          <w:p w14:paraId="3E8FB62E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</w:tr>
      <w:tr w:rsidR="00A73F02" w:rsidRPr="00B303F0" w14:paraId="219C69F4" w14:textId="77777777" w:rsidTr="006A4E38">
        <w:tc>
          <w:tcPr>
            <w:tcW w:w="562" w:type="dxa"/>
          </w:tcPr>
          <w:p w14:paraId="610F2665" w14:textId="0C15AA6E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b/>
                <w:bCs/>
                <w:lang w:val="en-GB" w:bidi="en-US"/>
              </w:rPr>
            </w:pP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1</w:t>
            </w:r>
            <w:r w:rsidR="004830BF">
              <w:rPr>
                <w:rFonts w:ascii="Myriad Pro" w:hAnsi="Myriad Pro" w:cs="FrutigerLT-Bold"/>
                <w:b/>
                <w:bCs/>
                <w:lang w:val="en-GB" w:bidi="en-US"/>
              </w:rPr>
              <w:t>2</w:t>
            </w: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-1</w:t>
            </w:r>
            <w:r w:rsidR="004830BF">
              <w:rPr>
                <w:rFonts w:ascii="Myriad Pro" w:hAnsi="Myriad Pro" w:cs="FrutigerLT-Bold"/>
                <w:b/>
                <w:bCs/>
                <w:lang w:val="en-GB" w:bidi="en-US"/>
              </w:rPr>
              <w:t>3</w:t>
            </w:r>
            <w:r w:rsidRPr="00B303F0">
              <w:rPr>
                <w:rFonts w:ascii="Myriad Pro" w:hAnsi="Myriad Pro" w:cs="FrutigerLT-Bold"/>
                <w:b/>
                <w:bCs/>
                <w:lang w:val="en-GB" w:bidi="en-US"/>
              </w:rPr>
              <w:t>h</w:t>
            </w:r>
          </w:p>
        </w:tc>
        <w:tc>
          <w:tcPr>
            <w:tcW w:w="1114" w:type="dxa"/>
            <w:vMerge/>
          </w:tcPr>
          <w:p w14:paraId="1D40D2ED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26" w:type="dxa"/>
            <w:vMerge/>
          </w:tcPr>
          <w:p w14:paraId="5AE88698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26" w:type="dxa"/>
            <w:vMerge/>
          </w:tcPr>
          <w:p w14:paraId="25804D69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62" w:type="dxa"/>
            <w:vMerge/>
          </w:tcPr>
          <w:p w14:paraId="462686F7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26" w:type="dxa"/>
            <w:vMerge/>
          </w:tcPr>
          <w:p w14:paraId="4F14990E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162" w:type="dxa"/>
            <w:vMerge/>
          </w:tcPr>
          <w:p w14:paraId="64409A6E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  <w:tc>
          <w:tcPr>
            <w:tcW w:w="1076" w:type="dxa"/>
            <w:vMerge/>
          </w:tcPr>
          <w:p w14:paraId="1D7160D4" w14:textId="77777777" w:rsidR="006A4E38" w:rsidRPr="00B303F0" w:rsidRDefault="006A4E38" w:rsidP="0011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yriad Pro" w:hAnsi="Myriad Pro" w:cs="FrutigerLT-Bold"/>
                <w:lang w:val="en-GB" w:bidi="en-US"/>
              </w:rPr>
            </w:pPr>
          </w:p>
        </w:tc>
      </w:tr>
    </w:tbl>
    <w:p w14:paraId="6B49DBA8" w14:textId="77777777" w:rsidR="006A4E38" w:rsidRDefault="006A4E38">
      <w:pPr>
        <w:rPr>
          <w:rFonts w:ascii="Myriad Pro" w:hAnsi="Myriad Pro" w:cs="FrutigerLT-Bold"/>
          <w:sz w:val="32"/>
          <w:szCs w:val="32"/>
          <w:lang w:val="en-GB" w:bidi="en-US"/>
        </w:rPr>
      </w:pPr>
    </w:p>
    <w:p w14:paraId="019BC4A7" w14:textId="77777777" w:rsidR="0014128F" w:rsidRDefault="0014128F">
      <w:pPr>
        <w:rPr>
          <w:rFonts w:ascii="Myriad Pro" w:hAnsi="Myriad Pro" w:cs="FrutigerLT-Bold"/>
          <w:sz w:val="32"/>
          <w:szCs w:val="32"/>
          <w:lang w:val="en-GB" w:bidi="en-US"/>
        </w:rPr>
      </w:pPr>
    </w:p>
    <w:p w14:paraId="0D4A76D0" w14:textId="69008E90" w:rsidR="0014128F" w:rsidRDefault="0014128F">
      <w:pPr>
        <w:rPr>
          <w:rFonts w:ascii="Myriad Pro" w:hAnsi="Myriad Pro" w:cs="FrutigerLT-Bold"/>
          <w:sz w:val="32"/>
          <w:szCs w:val="32"/>
          <w:lang w:val="en-GB" w:bidi="en-US"/>
        </w:rPr>
      </w:pPr>
      <w:r>
        <w:rPr>
          <w:rFonts w:ascii="Myriad Pro" w:hAnsi="Myriad Pro" w:cs="FrutigerLT-Bold"/>
          <w:sz w:val="32"/>
          <w:szCs w:val="32"/>
          <w:lang w:val="en-GB" w:bidi="en-US"/>
        </w:rPr>
        <w:t>Course Instructor</w:t>
      </w:r>
    </w:p>
    <w:p w14:paraId="30D06F74" w14:textId="77777777" w:rsidR="00F81486" w:rsidRPr="00A15979" w:rsidRDefault="00F81486" w:rsidP="00F81486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3B7BFE">
        <w:rPr>
          <w:rFonts w:ascii="Myriad Pro" w:hAnsi="Myriad Pro"/>
        </w:rPr>
        <w:t>Guido Sechi is a researcher at the Department of Human Geography of the University of Latvia. He has a PhD in Urban and Territorial Planning from the Technical University of Bari (2011). His main research interests are in the domain of urban and regional studies, with a focus on socio-spatial (in)justice and neoliberal policies in the context of post-socialist transition. He has worked as a consultant for urban and regional development projects. He also works on cultural projects focused on Soviet/socialist urban planning heritage and its afterlives.</w:t>
      </w:r>
    </w:p>
    <w:p w14:paraId="47507A26" w14:textId="77777777" w:rsidR="00F81486" w:rsidRPr="00A15979" w:rsidRDefault="00F81486" w:rsidP="00F81486">
      <w:pPr>
        <w:widowControl w:val="0"/>
        <w:autoSpaceDE w:val="0"/>
        <w:autoSpaceDN w:val="0"/>
        <w:adjustRightInd w:val="0"/>
        <w:outlineLvl w:val="0"/>
        <w:rPr>
          <w:rFonts w:ascii="Myriad Pro" w:hAnsi="Myriad Pro" w:cs="FrutigerLT-Bold"/>
          <w:sz w:val="28"/>
          <w:lang w:bidi="en-US"/>
        </w:rPr>
      </w:pPr>
    </w:p>
    <w:p w14:paraId="5BA3AA7D" w14:textId="77777777" w:rsidR="00F81486" w:rsidRPr="00F81486" w:rsidRDefault="00F81486"/>
    <w:sectPr w:rsidR="00F81486" w:rsidRPr="00F814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FrutigerLT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7"/>
    <w:rsid w:val="000103A1"/>
    <w:rsid w:val="000823C5"/>
    <w:rsid w:val="000E0636"/>
    <w:rsid w:val="0014128F"/>
    <w:rsid w:val="0017179F"/>
    <w:rsid w:val="001904F1"/>
    <w:rsid w:val="00203A22"/>
    <w:rsid w:val="00233A39"/>
    <w:rsid w:val="00244C4B"/>
    <w:rsid w:val="00256A79"/>
    <w:rsid w:val="002C2964"/>
    <w:rsid w:val="0034669F"/>
    <w:rsid w:val="00371E85"/>
    <w:rsid w:val="00396B2E"/>
    <w:rsid w:val="003A06F9"/>
    <w:rsid w:val="004150BC"/>
    <w:rsid w:val="00434BCA"/>
    <w:rsid w:val="004830BF"/>
    <w:rsid w:val="00484951"/>
    <w:rsid w:val="004B45B8"/>
    <w:rsid w:val="005163F5"/>
    <w:rsid w:val="005B6E87"/>
    <w:rsid w:val="005F40AF"/>
    <w:rsid w:val="00690382"/>
    <w:rsid w:val="006A4E38"/>
    <w:rsid w:val="00711F20"/>
    <w:rsid w:val="007D0817"/>
    <w:rsid w:val="00842D74"/>
    <w:rsid w:val="00933161"/>
    <w:rsid w:val="009B7B2C"/>
    <w:rsid w:val="00A636EE"/>
    <w:rsid w:val="00A73F02"/>
    <w:rsid w:val="00B67C87"/>
    <w:rsid w:val="00C76872"/>
    <w:rsid w:val="00D223D9"/>
    <w:rsid w:val="00DE5223"/>
    <w:rsid w:val="00E043ED"/>
    <w:rsid w:val="00E14C5A"/>
    <w:rsid w:val="00E74F86"/>
    <w:rsid w:val="00F3761B"/>
    <w:rsid w:val="00F44842"/>
    <w:rsid w:val="00F81486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0790"/>
  <w15:chartTrackingRefBased/>
  <w15:docId w15:val="{7216830D-47EC-4BDF-8B61-C2B7274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38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4B45B8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4B45B8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A3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5F40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Sechi</dc:creator>
  <cp:keywords/>
  <dc:description/>
  <cp:lastModifiedBy>Guido Sechi</cp:lastModifiedBy>
  <cp:revision>14</cp:revision>
  <dcterms:created xsi:type="dcterms:W3CDTF">2024-01-24T14:51:00Z</dcterms:created>
  <dcterms:modified xsi:type="dcterms:W3CDTF">2024-01-24T15:12:00Z</dcterms:modified>
</cp:coreProperties>
</file>